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33" w:rsidRPr="004928F7" w:rsidRDefault="00360A97" w:rsidP="003E5133">
      <w:pPr>
        <w:spacing w:after="100" w:line="240" w:lineRule="atLeast"/>
        <w:jc w:val="right"/>
        <w:textAlignment w:val="baseline"/>
        <w:outlineLvl w:val="0"/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eastAsia="ru-RU"/>
        </w:rPr>
      </w:pPr>
      <w:r w:rsidRPr="004928F7"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eastAsia="ru-RU"/>
        </w:rPr>
        <w:t xml:space="preserve">По материалам с сайта </w:t>
      </w:r>
      <w:r w:rsidRPr="004928F7"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val="en-US" w:eastAsia="ru-RU"/>
        </w:rPr>
        <w:t>FEA</w:t>
      </w:r>
    </w:p>
    <w:p w:rsidR="003E5133" w:rsidRPr="003E5133" w:rsidRDefault="003E5133" w:rsidP="003E5133">
      <w:pPr>
        <w:spacing w:after="100" w:line="240" w:lineRule="atLeast"/>
        <w:jc w:val="right"/>
        <w:textAlignment w:val="baseline"/>
        <w:outlineLvl w:val="0"/>
        <w:rPr>
          <w:rFonts w:eastAsia="Times New Roman" w:cstheme="minorHAnsi"/>
          <w:b/>
          <w:bCs/>
          <w:color w:val="943634" w:themeColor="accent2" w:themeShade="BF"/>
          <w:spacing w:val="34"/>
          <w:kern w:val="36"/>
          <w:sz w:val="44"/>
          <w:szCs w:val="44"/>
          <w:lang w:eastAsia="ru-RU"/>
        </w:rPr>
      </w:pPr>
    </w:p>
    <w:p w:rsidR="00360A97" w:rsidRPr="00360A97" w:rsidRDefault="00360A97" w:rsidP="003E5133">
      <w:pPr>
        <w:spacing w:after="100" w:line="240" w:lineRule="atLeast"/>
        <w:jc w:val="center"/>
        <w:textAlignment w:val="baseline"/>
        <w:outlineLvl w:val="0"/>
        <w:rPr>
          <w:rFonts w:cstheme="minorHAnsi"/>
          <w:b/>
          <w:sz w:val="36"/>
        </w:rPr>
      </w:pPr>
      <w:r w:rsidRPr="00360A97">
        <w:rPr>
          <w:rFonts w:cstheme="minorHAnsi"/>
          <w:b/>
          <w:sz w:val="36"/>
        </w:rPr>
        <w:t xml:space="preserve">Законодательные </w:t>
      </w:r>
      <w:r w:rsidR="003E5133">
        <w:rPr>
          <w:rFonts w:cstheme="minorHAnsi"/>
          <w:b/>
          <w:sz w:val="36"/>
        </w:rPr>
        <w:t xml:space="preserve">директивы </w:t>
      </w:r>
      <w:r w:rsidRPr="00360A97">
        <w:rPr>
          <w:rFonts w:cstheme="minorHAnsi"/>
          <w:b/>
          <w:sz w:val="36"/>
          <w:lang w:val="en-US"/>
        </w:rPr>
        <w:t>FEA</w:t>
      </w:r>
    </w:p>
    <w:p w:rsidR="00360A97" w:rsidRPr="003E5133" w:rsidRDefault="00360A97" w:rsidP="00360A97">
      <w:pPr>
        <w:rPr>
          <w:rFonts w:cstheme="minorHAnsi"/>
          <w:sz w:val="28"/>
        </w:rPr>
      </w:pPr>
      <w:r w:rsidRPr="003E5133">
        <w:rPr>
          <w:rFonts w:cstheme="minorHAnsi"/>
          <w:sz w:val="28"/>
        </w:rPr>
        <w:t>FEA уделяет особое внимание следующим законодательным актам и политикам:</w:t>
      </w:r>
    </w:p>
    <w:p w:rsidR="00360A97" w:rsidRPr="003E5133" w:rsidRDefault="00360A97" w:rsidP="00360A97">
      <w:pPr>
        <w:rPr>
          <w:rFonts w:cstheme="minorHAnsi"/>
          <w:sz w:val="28"/>
        </w:rPr>
      </w:pPr>
      <w:r w:rsidRPr="003E5133">
        <w:rPr>
          <w:rStyle w:val="a4"/>
          <w:rFonts w:cstheme="minorHAnsi"/>
          <w:sz w:val="28"/>
          <w:bdr w:val="none" w:sz="0" w:space="0" w:color="auto" w:frame="1"/>
        </w:rPr>
        <w:t>– Директива о предварительной упаковке 76/211/EEC</w:t>
      </w:r>
      <w:r w:rsidRPr="003E5133">
        <w:rPr>
          <w:rFonts w:cstheme="minorHAnsi"/>
          <w:sz w:val="28"/>
        </w:rPr>
        <w:br/>
      </w:r>
      <w:r w:rsidRPr="003E5133">
        <w:rPr>
          <w:rStyle w:val="a4"/>
          <w:rFonts w:cstheme="minorHAnsi"/>
          <w:sz w:val="28"/>
          <w:bdr w:val="none" w:sz="0" w:space="0" w:color="auto" w:frame="1"/>
        </w:rPr>
        <w:t>– Директива о номинальных количествах 2007/45/EC</w:t>
      </w:r>
    </w:p>
    <w:p w:rsidR="00360A97" w:rsidRPr="003E5133" w:rsidRDefault="00360A97" w:rsidP="00360A97">
      <w:pPr>
        <w:rPr>
          <w:rFonts w:cstheme="minorHAnsi"/>
          <w:sz w:val="28"/>
        </w:rPr>
      </w:pPr>
      <w:r w:rsidRPr="003E5133">
        <w:rPr>
          <w:rFonts w:cstheme="minorHAnsi"/>
          <w:sz w:val="28"/>
        </w:rPr>
        <w:t>Мы выступаем за обязательную маркировку номинальных объёмов (мл), что является установленным правилом с 1980 года. Кроме того, производители могут маркировать номинальные объёмы в граммах (г). На этикетке также должна быть указана номинальная общая вместимость аэрозольного баллона, чтобы не возникало путаницы с номинальным объёмом.</w:t>
      </w:r>
    </w:p>
    <w:p w:rsidR="00360A97" w:rsidRPr="003E5133" w:rsidRDefault="00360A97" w:rsidP="00360A97">
      <w:pPr>
        <w:rPr>
          <w:rFonts w:cstheme="minorHAnsi"/>
          <w:sz w:val="28"/>
        </w:rPr>
      </w:pPr>
      <w:r w:rsidRPr="003E5133">
        <w:rPr>
          <w:rFonts w:cstheme="minorHAnsi"/>
          <w:sz w:val="28"/>
        </w:rPr>
        <w:t>Первоначальные положения были официально закреплены в Директиве 80/232/ЕЭС о предельных значениях, которая была отменена и заменена Директивой 2007/45/ЕС о номинальных значениях.</w:t>
      </w:r>
    </w:p>
    <w:p w:rsidR="00360A97" w:rsidRPr="003E5133" w:rsidRDefault="00360A97" w:rsidP="00360A97">
      <w:pPr>
        <w:rPr>
          <w:rFonts w:cstheme="minorHAnsi"/>
          <w:sz w:val="28"/>
        </w:rPr>
      </w:pPr>
      <w:r w:rsidRPr="003E5133">
        <w:rPr>
          <w:rFonts w:cstheme="minorHAnsi"/>
          <w:sz w:val="28"/>
        </w:rPr>
        <w:t>Строчная буква «</w:t>
      </w:r>
      <w:proofErr w:type="spellStart"/>
      <w:r w:rsidRPr="003E5133">
        <w:rPr>
          <w:rStyle w:val="a4"/>
          <w:rFonts w:cstheme="minorHAnsi"/>
          <w:sz w:val="28"/>
          <w:bdr w:val="none" w:sz="0" w:space="0" w:color="auto" w:frame="1"/>
        </w:rPr>
        <w:t>e</w:t>
      </w:r>
      <w:proofErr w:type="spellEnd"/>
      <w:r w:rsidRPr="003E5133">
        <w:rPr>
          <w:rFonts w:cstheme="minorHAnsi"/>
          <w:sz w:val="28"/>
        </w:rPr>
        <w:t>», расположенная в том же поле зрения, что и указание номинального объема, является гарантией производителя или импортера того, что аэрозольный баллончик (который является предварительно упакованным продуктом) соответствует требованиям Директивы о предварительной упаковке 76/211/EEC.</w:t>
      </w:r>
    </w:p>
    <w:p w:rsidR="00360A97" w:rsidRPr="003E5133" w:rsidRDefault="00360A97" w:rsidP="00360A97">
      <w:pPr>
        <w:rPr>
          <w:rFonts w:cstheme="minorHAnsi"/>
          <w:sz w:val="28"/>
        </w:rPr>
      </w:pPr>
      <w:r w:rsidRPr="003E5133">
        <w:rPr>
          <w:rFonts w:cstheme="minorHAnsi"/>
          <w:sz w:val="28"/>
        </w:rPr>
        <w:t>После отмены Директивы 80/232/EEC о предписанных диапазонах Федеральное агентство по лекарственным средствам разработало </w:t>
      </w:r>
      <w:hyperlink r:id="rId4" w:history="1">
        <w:r w:rsidRPr="003E5133">
          <w:rPr>
            <w:rStyle w:val="a5"/>
            <w:rFonts w:cstheme="minorHAnsi"/>
            <w:b/>
            <w:bCs/>
            <w:color w:val="auto"/>
            <w:sz w:val="28"/>
            <w:bdr w:val="none" w:sz="0" w:space="0" w:color="auto" w:frame="1"/>
          </w:rPr>
          <w:t>Стандарт FEA 422 «Наполненные аэрозольные упаковки — стандартные уровни наполнения»</w:t>
        </w:r>
      </w:hyperlink>
      <w:r w:rsidRPr="003E5133">
        <w:rPr>
          <w:rFonts w:cstheme="minorHAnsi"/>
          <w:sz w:val="28"/>
        </w:rPr>
        <w:t>, который представляет собой идеальный метод, позволяющий избежать использования аэрозольных баллончиков, вводящих в заблуждение. Это означает, что аэрозольные баллончики наполняются таким образом, чтобы казалось, будто в них содержится больше вещества, чем на самом деле.</w:t>
      </w:r>
    </w:p>
    <w:p w:rsidR="00360A97" w:rsidRPr="003E5133" w:rsidRDefault="00360A97" w:rsidP="00360A97">
      <w:pPr>
        <w:rPr>
          <w:rFonts w:cstheme="minorHAnsi"/>
          <w:sz w:val="28"/>
        </w:rPr>
      </w:pPr>
      <w:r w:rsidRPr="003E5133">
        <w:rPr>
          <w:rFonts w:cstheme="minorHAnsi"/>
          <w:sz w:val="28"/>
        </w:rPr>
        <w:t>Стандарт FEA 422 был одобрен </w:t>
      </w:r>
      <w:r w:rsidRPr="003E5133">
        <w:rPr>
          <w:rStyle w:val="a4"/>
          <w:rFonts w:cstheme="minorHAnsi"/>
          <w:sz w:val="28"/>
          <w:bdr w:val="none" w:sz="0" w:space="0" w:color="auto" w:frame="1"/>
        </w:rPr>
        <w:t xml:space="preserve">Рабочей группой 6 «Предварительные пакеты» </w:t>
      </w:r>
      <w:proofErr w:type="spellStart"/>
      <w:proofErr w:type="gramStart"/>
      <w:r w:rsidRPr="003E5133">
        <w:rPr>
          <w:rStyle w:val="a4"/>
          <w:rFonts w:cstheme="minorHAnsi"/>
          <w:sz w:val="28"/>
          <w:bdr w:val="none" w:sz="0" w:space="0" w:color="auto" w:frame="1"/>
        </w:rPr>
        <w:t>WELMEC</w:t>
      </w:r>
      <w:proofErr w:type="gramEnd"/>
      <w:r w:rsidRPr="003E5133">
        <w:rPr>
          <w:rFonts w:cstheme="minorHAnsi"/>
          <w:sz w:val="28"/>
        </w:rPr>
        <w:t>Европейской</w:t>
      </w:r>
      <w:proofErr w:type="spellEnd"/>
      <w:r w:rsidRPr="003E5133">
        <w:rPr>
          <w:rFonts w:cstheme="minorHAnsi"/>
          <w:sz w:val="28"/>
        </w:rPr>
        <w:t xml:space="preserve"> организацией по сотрудничеству в области законодательной метрологии.</w:t>
      </w:r>
    </w:p>
    <w:p w:rsidR="00A40735" w:rsidRPr="003E5133" w:rsidRDefault="00A40735">
      <w:pPr>
        <w:rPr>
          <w:sz w:val="28"/>
        </w:rPr>
      </w:pPr>
    </w:p>
    <w:sectPr w:rsidR="00A40735" w:rsidRPr="003E5133" w:rsidSect="00A4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A97"/>
    <w:rsid w:val="00360A97"/>
    <w:rsid w:val="003E5133"/>
    <w:rsid w:val="004928F7"/>
    <w:rsid w:val="00A4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A97"/>
    <w:rPr>
      <w:b/>
      <w:bCs/>
    </w:rPr>
  </w:style>
  <w:style w:type="character" w:styleId="a5">
    <w:name w:val="Hyperlink"/>
    <w:basedOn w:val="a0"/>
    <w:uiPriority w:val="99"/>
    <w:semiHidden/>
    <w:unhideWhenUsed/>
    <w:rsid w:val="00360A97"/>
    <w:rPr>
      <w:color w:val="0000FF"/>
      <w:u w:val="single"/>
    </w:rPr>
  </w:style>
  <w:style w:type="paragraph" w:customStyle="1" w:styleId="default">
    <w:name w:val="default"/>
    <w:basedOn w:val="a"/>
    <w:rsid w:val="0036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erosol.org/standar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Миронов</dc:creator>
  <cp:lastModifiedBy>Михаил Миронов</cp:lastModifiedBy>
  <cp:revision>3</cp:revision>
  <dcterms:created xsi:type="dcterms:W3CDTF">2025-07-14T10:05:00Z</dcterms:created>
  <dcterms:modified xsi:type="dcterms:W3CDTF">2025-07-14T10:07:00Z</dcterms:modified>
</cp:coreProperties>
</file>